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990" w:type="dxa"/>
        <w:jc w:val="center"/>
        <w:tblCellMar>
          <w:left w:w="0" w:type="dxa"/>
          <w:right w:w="0" w:type="dxa"/>
        </w:tblCellMar>
        <w:tblLook w:val="04A0" w:firstRow="1" w:lastRow="0" w:firstColumn="1" w:lastColumn="0" w:noHBand="0" w:noVBand="1"/>
      </w:tblPr>
      <w:tblGrid>
        <w:gridCol w:w="13990"/>
      </w:tblGrid>
      <w:tr w:rsidR="001443B1" w:rsidRPr="001443B1" w14:paraId="622A10D0" w14:textId="77777777" w:rsidTr="001443B1">
        <w:trPr>
          <w:trHeight w:val="2223"/>
          <w:jc w:val="center"/>
        </w:trPr>
        <w:tc>
          <w:tcPr>
            <w:tcW w:w="13990" w:type="dxa"/>
            <w:tcBorders>
              <w:top w:val="single" w:sz="8" w:space="0" w:color="auto"/>
              <w:left w:val="single" w:sz="8" w:space="0" w:color="auto"/>
              <w:bottom w:val="nil"/>
              <w:right w:val="single" w:sz="8" w:space="0" w:color="auto"/>
            </w:tcBorders>
            <w:shd w:val="clear" w:color="auto" w:fill="2D6E8D"/>
            <w:tcMar>
              <w:top w:w="360" w:type="dxa"/>
              <w:left w:w="720" w:type="dxa"/>
              <w:bottom w:w="360" w:type="dxa"/>
              <w:right w:w="720" w:type="dxa"/>
            </w:tcMar>
            <w:vAlign w:val="center"/>
          </w:tcPr>
          <w:p w14:paraId="5F1D1D78" w14:textId="77777777" w:rsidR="001443B1" w:rsidRPr="001443B1" w:rsidRDefault="001443B1" w:rsidP="001443B1"/>
          <w:p w14:paraId="7B0067DF" w14:textId="77777777" w:rsidR="001443B1" w:rsidRPr="001443B1" w:rsidRDefault="001443B1" w:rsidP="001443B1">
            <w:r w:rsidRPr="001443B1">
              <w:t>November 18, 2025</w:t>
            </w:r>
          </w:p>
          <w:p w14:paraId="599DC9B3" w14:textId="77777777" w:rsidR="001443B1" w:rsidRPr="001443B1" w:rsidRDefault="001443B1" w:rsidP="001443B1">
            <w:pPr>
              <w:rPr>
                <w:b/>
                <w:bCs/>
              </w:rPr>
            </w:pPr>
            <w:r w:rsidRPr="001443B1">
              <w:rPr>
                <w:b/>
                <w:bCs/>
              </w:rPr>
              <w:t>Licensing and Certification Portal</w:t>
            </w:r>
          </w:p>
          <w:p w14:paraId="154FC341" w14:textId="77777777" w:rsidR="001443B1" w:rsidRPr="001443B1" w:rsidRDefault="001443B1" w:rsidP="001443B1">
            <w:pPr>
              <w:rPr>
                <w:b/>
                <w:bCs/>
              </w:rPr>
            </w:pPr>
          </w:p>
          <w:p w14:paraId="30024551" w14:textId="5FD733D0" w:rsidR="001443B1" w:rsidRPr="001443B1" w:rsidRDefault="001443B1" w:rsidP="001443B1">
            <w:pPr>
              <w:rPr>
                <w:b/>
                <w:bCs/>
              </w:rPr>
            </w:pPr>
            <w:r w:rsidRPr="001443B1">
              <w:rPr>
                <w:b/>
              </w:rPr>
              <w:drawing>
                <wp:inline distT="0" distB="0" distL="0" distR="0" wp14:anchorId="4CEB312A" wp14:editId="4EFE9EF4">
                  <wp:extent cx="5943600" cy="2066925"/>
                  <wp:effectExtent l="0" t="0" r="0" b="9525"/>
                  <wp:docPr id="1894066749" name="Picture 4" descr="A close-up of a person typing on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066749" name="Picture 4" descr="A close-up of a person typing on a computer&#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066925"/>
                          </a:xfrm>
                          <a:prstGeom prst="rect">
                            <a:avLst/>
                          </a:prstGeom>
                          <a:noFill/>
                          <a:ln>
                            <a:noFill/>
                          </a:ln>
                        </pic:spPr>
                      </pic:pic>
                    </a:graphicData>
                  </a:graphic>
                </wp:inline>
              </w:drawing>
            </w:r>
          </w:p>
        </w:tc>
      </w:tr>
      <w:tr w:rsidR="001443B1" w:rsidRPr="001443B1" w14:paraId="1378048D" w14:textId="77777777" w:rsidTr="001443B1">
        <w:trPr>
          <w:trHeight w:val="590"/>
          <w:jc w:val="center"/>
        </w:trPr>
        <w:tc>
          <w:tcPr>
            <w:tcW w:w="13990" w:type="dxa"/>
            <w:tcBorders>
              <w:top w:val="nil"/>
              <w:left w:val="single" w:sz="8" w:space="0" w:color="auto"/>
              <w:bottom w:val="nil"/>
              <w:right w:val="single" w:sz="8" w:space="0" w:color="auto"/>
            </w:tcBorders>
            <w:tcMar>
              <w:top w:w="360" w:type="dxa"/>
              <w:left w:w="1440" w:type="dxa"/>
              <w:bottom w:w="360" w:type="dxa"/>
              <w:right w:w="1440" w:type="dxa"/>
            </w:tcMar>
            <w:vAlign w:val="center"/>
            <w:hideMark/>
          </w:tcPr>
          <w:p w14:paraId="02D3D3FB" w14:textId="77777777" w:rsidR="001443B1" w:rsidRPr="001443B1" w:rsidRDefault="001443B1" w:rsidP="001443B1">
            <w:pPr>
              <w:rPr>
                <w:b/>
                <w:bCs/>
              </w:rPr>
            </w:pPr>
            <w:r w:rsidRPr="001443B1">
              <w:rPr>
                <w:b/>
                <w:bCs/>
              </w:rPr>
              <w:t>Introducing the Licensing and Certification Portal</w:t>
            </w:r>
          </w:p>
        </w:tc>
      </w:tr>
      <w:tr w:rsidR="001443B1" w:rsidRPr="001443B1" w14:paraId="6E81F25A" w14:textId="77777777" w:rsidTr="001443B1">
        <w:trPr>
          <w:trHeight w:val="432"/>
          <w:jc w:val="center"/>
        </w:trPr>
        <w:tc>
          <w:tcPr>
            <w:tcW w:w="13990" w:type="dxa"/>
            <w:tcBorders>
              <w:top w:val="nil"/>
              <w:left w:val="single" w:sz="8" w:space="0" w:color="auto"/>
              <w:bottom w:val="nil"/>
              <w:right w:val="single" w:sz="8" w:space="0" w:color="auto"/>
            </w:tcBorders>
            <w:shd w:val="clear" w:color="auto" w:fill="2D6E8D"/>
            <w:tcMar>
              <w:top w:w="360" w:type="dxa"/>
              <w:left w:w="1440" w:type="dxa"/>
              <w:bottom w:w="360" w:type="dxa"/>
              <w:right w:w="1440" w:type="dxa"/>
            </w:tcMar>
          </w:tcPr>
          <w:p w14:paraId="7E5349D2" w14:textId="77777777" w:rsidR="001443B1" w:rsidRPr="001443B1" w:rsidRDefault="001443B1" w:rsidP="001443B1"/>
          <w:p w14:paraId="5C4401C3" w14:textId="77777777" w:rsidR="001443B1" w:rsidRPr="001443B1" w:rsidRDefault="001443B1" w:rsidP="001443B1">
            <w:r w:rsidRPr="001443B1">
              <w:t xml:space="preserve">Hello substance </w:t>
            </w:r>
            <w:proofErr w:type="gramStart"/>
            <w:r w:rsidRPr="001443B1">
              <w:t>use</w:t>
            </w:r>
            <w:proofErr w:type="gramEnd"/>
            <w:r w:rsidRPr="001443B1">
              <w:t xml:space="preserve"> disorder (SUD) service providers, </w:t>
            </w:r>
          </w:p>
          <w:p w14:paraId="38047513" w14:textId="77777777" w:rsidR="001443B1" w:rsidRPr="001443B1" w:rsidRDefault="001443B1" w:rsidP="001443B1"/>
          <w:p w14:paraId="1E0C2E93" w14:textId="77777777" w:rsidR="001443B1" w:rsidRPr="001443B1" w:rsidRDefault="001443B1" w:rsidP="001443B1">
            <w:r w:rsidRPr="001443B1">
              <w:t xml:space="preserve">Step into the future of licensing and certification with the Department of Health Care Services’ (DHCS) Behavioral Health Licensing and Certification Portal (LCP)! </w:t>
            </w:r>
          </w:p>
          <w:p w14:paraId="54637A9E" w14:textId="77777777" w:rsidR="001443B1" w:rsidRPr="001443B1" w:rsidRDefault="001443B1" w:rsidP="001443B1">
            <w:r w:rsidRPr="001443B1">
              <w:t> </w:t>
            </w:r>
          </w:p>
          <w:p w14:paraId="0763E89A" w14:textId="77777777" w:rsidR="001443B1" w:rsidRPr="001443B1" w:rsidRDefault="001443B1" w:rsidP="001443B1">
            <w:r w:rsidRPr="001443B1">
              <w:t xml:space="preserve">DHCS’ digital LCP will be a go-to destination for all your licensing and certification needs. The LCP makes applying for licensing and certification faster and easier, with visibility into your application’s progress. </w:t>
            </w:r>
          </w:p>
          <w:p w14:paraId="1EDF1053" w14:textId="77777777" w:rsidR="001443B1" w:rsidRPr="001443B1" w:rsidRDefault="001443B1" w:rsidP="001443B1"/>
        </w:tc>
      </w:tr>
      <w:tr w:rsidR="001443B1" w:rsidRPr="001443B1" w14:paraId="222CAB38" w14:textId="77777777" w:rsidTr="001443B1">
        <w:trPr>
          <w:trHeight w:val="2218"/>
          <w:jc w:val="center"/>
        </w:trPr>
        <w:tc>
          <w:tcPr>
            <w:tcW w:w="13990" w:type="dxa"/>
            <w:tcBorders>
              <w:top w:val="nil"/>
              <w:left w:val="single" w:sz="8" w:space="0" w:color="auto"/>
              <w:bottom w:val="nil"/>
              <w:right w:val="single" w:sz="8" w:space="0" w:color="auto"/>
            </w:tcBorders>
            <w:vAlign w:val="center"/>
            <w:hideMark/>
          </w:tcPr>
          <w:p w14:paraId="0A3B5B5D" w14:textId="13CCE708" w:rsidR="001443B1" w:rsidRPr="001443B1" w:rsidRDefault="001443B1" w:rsidP="001443B1">
            <w:r w:rsidRPr="001443B1">
              <w:lastRenderedPageBreak/>
              <w:drawing>
                <wp:inline distT="0" distB="0" distL="0" distR="0" wp14:anchorId="75C9F085" wp14:editId="64B8777D">
                  <wp:extent cx="5943600" cy="1851660"/>
                  <wp:effectExtent l="0" t="0" r="0" b="0"/>
                  <wp:docPr id="17614207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851660"/>
                          </a:xfrm>
                          <a:prstGeom prst="rect">
                            <a:avLst/>
                          </a:prstGeom>
                          <a:noFill/>
                          <a:ln>
                            <a:noFill/>
                          </a:ln>
                        </pic:spPr>
                      </pic:pic>
                    </a:graphicData>
                  </a:graphic>
                </wp:inline>
              </w:drawing>
            </w:r>
          </w:p>
        </w:tc>
      </w:tr>
      <w:tr w:rsidR="001443B1" w:rsidRPr="001443B1" w14:paraId="7BAA18C1" w14:textId="77777777" w:rsidTr="001443B1">
        <w:trPr>
          <w:trHeight w:val="590"/>
          <w:jc w:val="center"/>
        </w:trPr>
        <w:tc>
          <w:tcPr>
            <w:tcW w:w="13990" w:type="dxa"/>
            <w:tcBorders>
              <w:top w:val="nil"/>
              <w:left w:val="single" w:sz="8" w:space="0" w:color="auto"/>
              <w:bottom w:val="nil"/>
              <w:right w:val="single" w:sz="8" w:space="0" w:color="auto"/>
            </w:tcBorders>
            <w:tcMar>
              <w:top w:w="360" w:type="dxa"/>
              <w:left w:w="1440" w:type="dxa"/>
              <w:bottom w:w="360" w:type="dxa"/>
              <w:right w:w="1440" w:type="dxa"/>
            </w:tcMar>
            <w:vAlign w:val="center"/>
            <w:hideMark/>
          </w:tcPr>
          <w:p w14:paraId="26B1522C" w14:textId="77777777" w:rsidR="001443B1" w:rsidRPr="001443B1" w:rsidRDefault="001443B1" w:rsidP="001443B1">
            <w:r w:rsidRPr="001443B1">
              <w:rPr>
                <w:b/>
                <w:bCs/>
              </w:rPr>
              <w:t>Why Make the Switch?</w:t>
            </w:r>
          </w:p>
        </w:tc>
      </w:tr>
      <w:tr w:rsidR="001443B1" w:rsidRPr="001443B1" w14:paraId="53FFB64D" w14:textId="77777777" w:rsidTr="001443B1">
        <w:trPr>
          <w:trHeight w:val="590"/>
          <w:jc w:val="center"/>
        </w:trPr>
        <w:tc>
          <w:tcPr>
            <w:tcW w:w="13990" w:type="dxa"/>
            <w:tcBorders>
              <w:top w:val="nil"/>
              <w:left w:val="single" w:sz="8" w:space="0" w:color="auto"/>
              <w:bottom w:val="nil"/>
              <w:right w:val="single" w:sz="8" w:space="0" w:color="auto"/>
            </w:tcBorders>
            <w:shd w:val="clear" w:color="auto" w:fill="2D6E8D"/>
            <w:tcMar>
              <w:top w:w="360" w:type="dxa"/>
              <w:left w:w="1440" w:type="dxa"/>
              <w:bottom w:w="360" w:type="dxa"/>
              <w:right w:w="1440" w:type="dxa"/>
            </w:tcMar>
            <w:vAlign w:val="center"/>
            <w:hideMark/>
          </w:tcPr>
          <w:p w14:paraId="47849BD9" w14:textId="77777777" w:rsidR="001443B1" w:rsidRPr="001443B1" w:rsidRDefault="001443B1" w:rsidP="001443B1">
            <w:pPr>
              <w:numPr>
                <w:ilvl w:val="0"/>
                <w:numId w:val="1"/>
              </w:numPr>
            </w:pPr>
            <w:r w:rsidRPr="001443B1">
              <w:rPr>
                <w:b/>
                <w:bCs/>
              </w:rPr>
              <w:lastRenderedPageBreak/>
              <w:t>Convenience:</w:t>
            </w:r>
            <w:r w:rsidRPr="001443B1">
              <w:t xml:space="preserve"> Access, manage, and submit your applications in one central location. </w:t>
            </w:r>
          </w:p>
          <w:p w14:paraId="455BB7DC" w14:textId="77777777" w:rsidR="001443B1" w:rsidRPr="001443B1" w:rsidRDefault="001443B1" w:rsidP="001443B1">
            <w:pPr>
              <w:numPr>
                <w:ilvl w:val="0"/>
                <w:numId w:val="1"/>
              </w:numPr>
            </w:pPr>
            <w:r w:rsidRPr="001443B1">
              <w:rPr>
                <w:b/>
                <w:bCs/>
              </w:rPr>
              <w:t>Transparency:</w:t>
            </w:r>
            <w:r w:rsidRPr="001443B1">
              <w:t xml:space="preserve"> Track your application status in real time. </w:t>
            </w:r>
          </w:p>
          <w:p w14:paraId="6AA95F91" w14:textId="77777777" w:rsidR="001443B1" w:rsidRPr="001443B1" w:rsidRDefault="001443B1" w:rsidP="001443B1">
            <w:pPr>
              <w:numPr>
                <w:ilvl w:val="0"/>
                <w:numId w:val="1"/>
              </w:numPr>
            </w:pPr>
            <w:r w:rsidRPr="001443B1">
              <w:rPr>
                <w:b/>
                <w:bCs/>
              </w:rPr>
              <w:t>Efficiency:</w:t>
            </w:r>
            <w:r w:rsidRPr="001443B1">
              <w:t xml:space="preserve"> Save time and reduce errors as you fill out your application, which begins with your profile and facility data pre-populated in the portal. Communicate directly with your analyst and address corrections requested to your application through the portal. </w:t>
            </w:r>
          </w:p>
          <w:p w14:paraId="7EC4260C" w14:textId="77777777" w:rsidR="001443B1" w:rsidRPr="001443B1" w:rsidRDefault="001443B1" w:rsidP="001443B1">
            <w:pPr>
              <w:numPr>
                <w:ilvl w:val="0"/>
                <w:numId w:val="1"/>
              </w:numPr>
            </w:pPr>
            <w:r w:rsidRPr="001443B1">
              <w:rPr>
                <w:b/>
                <w:bCs/>
              </w:rPr>
              <w:t>Timely Notifications:</w:t>
            </w:r>
            <w:r w:rsidRPr="001443B1">
              <w:t xml:space="preserve"> Receive notifications from the portal when you have a renewal application to complete or a request for corrections from your DHCS analyst. </w:t>
            </w:r>
          </w:p>
          <w:p w14:paraId="45F49B89" w14:textId="77777777" w:rsidR="001443B1" w:rsidRPr="001443B1" w:rsidRDefault="001443B1" w:rsidP="001443B1">
            <w:pPr>
              <w:numPr>
                <w:ilvl w:val="0"/>
                <w:numId w:val="1"/>
              </w:numPr>
            </w:pPr>
            <w:r w:rsidRPr="001443B1">
              <w:rPr>
                <w:b/>
                <w:bCs/>
              </w:rPr>
              <w:t>Designed For Providers:</w:t>
            </w:r>
            <w:r w:rsidRPr="001443B1">
              <w:t xml:space="preserve"> Use a digital portal developed with direct input from providers like you, with easy-to-navigate features that help you complete your applications with confidence.</w:t>
            </w:r>
          </w:p>
        </w:tc>
      </w:tr>
      <w:tr w:rsidR="001443B1" w:rsidRPr="001443B1" w14:paraId="1C44D30D" w14:textId="77777777" w:rsidTr="001443B1">
        <w:trPr>
          <w:trHeight w:val="590"/>
          <w:jc w:val="center"/>
        </w:trPr>
        <w:tc>
          <w:tcPr>
            <w:tcW w:w="13990" w:type="dxa"/>
            <w:tcBorders>
              <w:top w:val="nil"/>
              <w:left w:val="single" w:sz="8" w:space="0" w:color="auto"/>
              <w:bottom w:val="nil"/>
              <w:right w:val="single" w:sz="8" w:space="0" w:color="auto"/>
            </w:tcBorders>
            <w:tcMar>
              <w:top w:w="360" w:type="dxa"/>
              <w:left w:w="1440" w:type="dxa"/>
              <w:bottom w:w="360" w:type="dxa"/>
              <w:right w:w="1440" w:type="dxa"/>
            </w:tcMar>
            <w:vAlign w:val="center"/>
            <w:hideMark/>
          </w:tcPr>
          <w:p w14:paraId="14019885" w14:textId="77777777" w:rsidR="001443B1" w:rsidRPr="001443B1" w:rsidRDefault="001443B1" w:rsidP="001443B1">
            <w:pPr>
              <w:rPr>
                <w:b/>
                <w:bCs/>
              </w:rPr>
            </w:pPr>
            <w:r w:rsidRPr="001443B1">
              <w:rPr>
                <w:b/>
                <w:bCs/>
              </w:rPr>
              <w:t>How Can You Start Your LCP Journey?</w:t>
            </w:r>
          </w:p>
        </w:tc>
      </w:tr>
      <w:tr w:rsidR="001443B1" w:rsidRPr="001443B1" w14:paraId="09053B4B" w14:textId="77777777" w:rsidTr="001443B1">
        <w:trPr>
          <w:trHeight w:val="590"/>
          <w:jc w:val="center"/>
        </w:trPr>
        <w:tc>
          <w:tcPr>
            <w:tcW w:w="13990" w:type="dxa"/>
            <w:tcBorders>
              <w:top w:val="nil"/>
              <w:left w:val="single" w:sz="8" w:space="0" w:color="auto"/>
              <w:bottom w:val="nil"/>
              <w:right w:val="single" w:sz="8" w:space="0" w:color="auto"/>
            </w:tcBorders>
            <w:shd w:val="clear" w:color="auto" w:fill="2D6E8D"/>
            <w:tcMar>
              <w:top w:w="360" w:type="dxa"/>
              <w:left w:w="1440" w:type="dxa"/>
              <w:bottom w:w="360" w:type="dxa"/>
              <w:right w:w="1440" w:type="dxa"/>
            </w:tcMar>
            <w:vAlign w:val="center"/>
          </w:tcPr>
          <w:p w14:paraId="17615E0F" w14:textId="77777777" w:rsidR="001443B1" w:rsidRPr="001443B1" w:rsidRDefault="001443B1" w:rsidP="001443B1">
            <w:pPr>
              <w:numPr>
                <w:ilvl w:val="0"/>
                <w:numId w:val="2"/>
              </w:numPr>
            </w:pPr>
            <w:r w:rsidRPr="001443B1">
              <w:t xml:space="preserve">Today you will receive an invitation to the portal with the subject line “Set Up Your DHCS Account Today!”. You are receiving this invitation because you were identified as the primary decision-maker and/or contact for your organization (referred to in the portal as the “org admin”). </w:t>
            </w:r>
            <w:r w:rsidRPr="001443B1">
              <w:rPr>
                <w:b/>
                <w:bCs/>
              </w:rPr>
              <w:t>As your entity's org admin, you are responsible for setting up your organization's profile in the portal and adding users</w:t>
            </w:r>
            <w:r w:rsidRPr="001443B1">
              <w:t xml:space="preserve"> (e.g., signature authorities) for each facility/program within your organization. You can also add a system admin in the portal for your organization, who can add signature authorities and designated agents for all your organization's facilities/programs. </w:t>
            </w:r>
          </w:p>
          <w:p w14:paraId="0D62321B" w14:textId="77777777" w:rsidR="001443B1" w:rsidRPr="001443B1" w:rsidRDefault="001443B1" w:rsidP="001443B1"/>
          <w:p w14:paraId="0B28E252" w14:textId="77777777" w:rsidR="001443B1" w:rsidRPr="001443B1" w:rsidRDefault="001443B1" w:rsidP="001443B1">
            <w:pPr>
              <w:numPr>
                <w:ilvl w:val="0"/>
                <w:numId w:val="2"/>
              </w:numPr>
            </w:pPr>
            <w:r w:rsidRPr="001443B1">
              <w:t>Use the link in that email to log in, verify the information in your organization’s profile (pre-populated with data from your previous applications), and invite others from your organization (e.g., facility/program signature authorities). Attached, you’ll find a Quick Start Guide to walk you through these steps, as well as example language you can share with those you invite to the LCP.</w:t>
            </w:r>
          </w:p>
          <w:p w14:paraId="3A7F1338" w14:textId="77777777" w:rsidR="001443B1" w:rsidRPr="001443B1" w:rsidRDefault="001443B1" w:rsidP="001443B1"/>
          <w:p w14:paraId="3811245C" w14:textId="77777777" w:rsidR="001443B1" w:rsidRPr="001443B1" w:rsidRDefault="001443B1" w:rsidP="001443B1">
            <w:pPr>
              <w:numPr>
                <w:ilvl w:val="0"/>
                <w:numId w:val="2"/>
              </w:numPr>
            </w:pPr>
            <w:r w:rsidRPr="001443B1">
              <w:t xml:space="preserve">Once your organization’s profile is verified, you’ll be able to complete and submit applications for SUD licenses and/or certifications expiring within the next 150 days. In alignment with standard LCD policy, SUD providers will not be able to view and complete renewal applications in the portal more than 150 days before license/certification expiration. </w:t>
            </w:r>
            <w:r w:rsidRPr="001443B1">
              <w:rPr>
                <w:b/>
                <w:bCs/>
              </w:rPr>
              <w:t>Renewal applications due in more than 150 days will not be visible on your dashboard.</w:t>
            </w:r>
            <w:r w:rsidRPr="001443B1">
              <w:t xml:space="preserve"> If your extension/renewal is more than 150 days away, sign in and verify your profile to receive notifications when it becomes available. We recommend setting up your organization’s profile today!</w:t>
            </w:r>
          </w:p>
          <w:p w14:paraId="04ACAF2C" w14:textId="77777777" w:rsidR="001443B1" w:rsidRPr="001443B1" w:rsidRDefault="001443B1" w:rsidP="001443B1"/>
          <w:p w14:paraId="6FC8E4FA" w14:textId="77777777" w:rsidR="001443B1" w:rsidRPr="001443B1" w:rsidRDefault="001443B1" w:rsidP="001443B1">
            <w:r w:rsidRPr="001443B1">
              <w:t xml:space="preserve">Want to learn more about the DHCS License and Certification Portal and what it can do for your organization? </w:t>
            </w:r>
            <w:r w:rsidRPr="001443B1">
              <w:rPr>
                <w:b/>
                <w:bCs/>
              </w:rPr>
              <w:t>DHCS will be hosting introductory trainings</w:t>
            </w:r>
            <w:r w:rsidRPr="001443B1">
              <w:t xml:space="preserve"> on Wednesday, December 10 from 3-4:30pm PT, and Tuesday, December 16 from 1-2:30pm PT. To register for the December 10 session, </w:t>
            </w:r>
            <w:hyperlink r:id="rId7" w:tgtFrame="_blank" w:history="1">
              <w:r w:rsidRPr="001443B1">
                <w:rPr>
                  <w:rStyle w:val="Hyperlink"/>
                </w:rPr>
                <w:t>click here</w:t>
              </w:r>
            </w:hyperlink>
            <w:r w:rsidRPr="001443B1">
              <w:t>. To register for the December 16 session, </w:t>
            </w:r>
            <w:hyperlink r:id="rId8" w:tgtFrame="_blank" w:history="1">
              <w:r w:rsidRPr="001443B1">
                <w:rPr>
                  <w:rStyle w:val="Hyperlink"/>
                </w:rPr>
                <w:t>click here</w:t>
              </w:r>
            </w:hyperlink>
            <w:r w:rsidRPr="001443B1">
              <w:t>. Please note attendance will be capped; if needed, DHCS will schedule additional sessions. Please register by Friday, December 5.</w:t>
            </w:r>
          </w:p>
        </w:tc>
      </w:tr>
      <w:tr w:rsidR="001443B1" w:rsidRPr="001443B1" w14:paraId="2ACD8E8C" w14:textId="77777777" w:rsidTr="001443B1">
        <w:trPr>
          <w:trHeight w:val="590"/>
          <w:jc w:val="center"/>
        </w:trPr>
        <w:tc>
          <w:tcPr>
            <w:tcW w:w="13990" w:type="dxa"/>
            <w:tcBorders>
              <w:top w:val="nil"/>
              <w:left w:val="single" w:sz="8" w:space="0" w:color="auto"/>
              <w:bottom w:val="single" w:sz="8" w:space="0" w:color="auto"/>
              <w:right w:val="single" w:sz="8" w:space="0" w:color="auto"/>
            </w:tcBorders>
            <w:shd w:val="clear" w:color="auto" w:fill="ECEEF0"/>
            <w:tcMar>
              <w:top w:w="720" w:type="dxa"/>
              <w:left w:w="720" w:type="dxa"/>
              <w:bottom w:w="720" w:type="dxa"/>
              <w:right w:w="720" w:type="dxa"/>
            </w:tcMar>
            <w:vAlign w:val="center"/>
          </w:tcPr>
          <w:p w14:paraId="28C05216" w14:textId="77777777" w:rsidR="001443B1" w:rsidRPr="001443B1" w:rsidRDefault="001443B1" w:rsidP="001443B1">
            <w:pPr>
              <w:rPr>
                <w:b/>
                <w:bCs/>
              </w:rPr>
            </w:pPr>
            <w:r w:rsidRPr="001443B1">
              <w:rPr>
                <w:b/>
                <w:bCs/>
              </w:rPr>
              <w:lastRenderedPageBreak/>
              <w:t>How Can You Request Support?</w:t>
            </w:r>
          </w:p>
          <w:p w14:paraId="7519E56A" w14:textId="77777777" w:rsidR="001443B1" w:rsidRPr="001443B1" w:rsidRDefault="001443B1" w:rsidP="001443B1">
            <w:pPr>
              <w:rPr>
                <w:b/>
                <w:bCs/>
              </w:rPr>
            </w:pPr>
          </w:p>
          <w:p w14:paraId="7D830206" w14:textId="77777777" w:rsidR="001443B1" w:rsidRPr="001443B1" w:rsidRDefault="001443B1" w:rsidP="001443B1">
            <w:pPr>
              <w:numPr>
                <w:ilvl w:val="0"/>
                <w:numId w:val="3"/>
              </w:numPr>
              <w:rPr>
                <w:b/>
                <w:bCs/>
              </w:rPr>
            </w:pPr>
            <w:r w:rsidRPr="001443B1">
              <w:rPr>
                <w:b/>
                <w:bCs/>
              </w:rPr>
              <w:t xml:space="preserve">Are you an invited SUD provider having difficulty logging in or setting up your profile? </w:t>
            </w:r>
          </w:p>
          <w:p w14:paraId="25F19D63" w14:textId="77777777" w:rsidR="001443B1" w:rsidRPr="001443B1" w:rsidRDefault="001443B1" w:rsidP="001443B1">
            <w:pPr>
              <w:rPr>
                <w:b/>
                <w:bCs/>
              </w:rPr>
            </w:pPr>
            <w:r w:rsidRPr="001443B1">
              <w:t xml:space="preserve">Send an email to </w:t>
            </w:r>
            <w:hyperlink r:id="rId9" w:history="1">
              <w:r w:rsidRPr="001443B1">
                <w:rPr>
                  <w:rStyle w:val="Hyperlink"/>
                </w:rPr>
                <w:t>BHTInfo@dhcs.ca.gov</w:t>
              </w:r>
            </w:hyperlink>
            <w:r w:rsidRPr="001443B1">
              <w:t xml:space="preserve"> with the subject line “DHCS Login Issue” to request support accessing the portal. </w:t>
            </w:r>
          </w:p>
          <w:p w14:paraId="412FA686" w14:textId="77777777" w:rsidR="001443B1" w:rsidRPr="001443B1" w:rsidRDefault="001443B1" w:rsidP="001443B1"/>
          <w:p w14:paraId="5C142810" w14:textId="77777777" w:rsidR="001443B1" w:rsidRPr="001443B1" w:rsidRDefault="001443B1" w:rsidP="001443B1">
            <w:pPr>
              <w:numPr>
                <w:ilvl w:val="0"/>
                <w:numId w:val="3"/>
              </w:numPr>
              <w:rPr>
                <w:b/>
                <w:bCs/>
              </w:rPr>
            </w:pPr>
            <w:r w:rsidRPr="001443B1">
              <w:rPr>
                <w:b/>
                <w:bCs/>
              </w:rPr>
              <w:t xml:space="preserve">For all other questions: </w:t>
            </w:r>
          </w:p>
          <w:p w14:paraId="0C51CF4C" w14:textId="77777777" w:rsidR="001443B1" w:rsidRPr="001443B1" w:rsidRDefault="001443B1" w:rsidP="001443B1">
            <w:r w:rsidRPr="001443B1">
              <w:t xml:space="preserve">Click “?” in the upper right corner of the LCP or click “Support Center” in the footer to submit your question. Through the Support Center you can also access on-demand resources such as FAQs, user manuals, and Quick Start Guide. </w:t>
            </w:r>
          </w:p>
          <w:p w14:paraId="398A5626" w14:textId="77777777" w:rsidR="001443B1" w:rsidRPr="001443B1" w:rsidRDefault="001443B1" w:rsidP="001443B1"/>
          <w:p w14:paraId="0B17CAD9" w14:textId="77777777" w:rsidR="001443B1" w:rsidRPr="001443B1" w:rsidRDefault="001443B1" w:rsidP="001443B1">
            <w:r w:rsidRPr="001443B1">
              <w:t xml:space="preserve">We look forward to receiving your licensing and certification applications through the LCP! </w:t>
            </w:r>
          </w:p>
        </w:tc>
      </w:tr>
      <w:tr w:rsidR="001443B1" w:rsidRPr="001443B1" w14:paraId="46F11711" w14:textId="77777777" w:rsidTr="001443B1">
        <w:trPr>
          <w:jc w:val="center"/>
        </w:trPr>
        <w:tc>
          <w:tcPr>
            <w:tcW w:w="13990" w:type="dxa"/>
            <w:tcBorders>
              <w:top w:val="nil"/>
              <w:left w:val="single" w:sz="8" w:space="0" w:color="auto"/>
              <w:bottom w:val="nil"/>
              <w:right w:val="single" w:sz="8" w:space="0" w:color="auto"/>
            </w:tcBorders>
            <w:tcMar>
              <w:top w:w="0" w:type="dxa"/>
              <w:left w:w="108" w:type="dxa"/>
              <w:bottom w:w="0" w:type="dxa"/>
              <w:right w:w="108" w:type="dxa"/>
            </w:tcMar>
            <w:hideMark/>
          </w:tcPr>
          <w:p w14:paraId="2AE24EAD" w14:textId="77777777" w:rsidR="001443B1" w:rsidRPr="001443B1" w:rsidRDefault="001443B1" w:rsidP="001443B1"/>
        </w:tc>
      </w:tr>
    </w:tbl>
    <w:p w14:paraId="679C336D" w14:textId="77777777" w:rsidR="009F55AC" w:rsidRDefault="009F55AC"/>
    <w:sectPr w:rsidR="009F55AC" w:rsidSect="001443B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D6DE6"/>
    <w:multiLevelType w:val="hybridMultilevel"/>
    <w:tmpl w:val="088EA0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28F60EC"/>
    <w:multiLevelType w:val="hybridMultilevel"/>
    <w:tmpl w:val="6D944252"/>
    <w:lvl w:ilvl="0" w:tplc="0409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 w15:restartNumberingAfterBreak="0">
    <w:nsid w:val="69594809"/>
    <w:multiLevelType w:val="hybridMultilevel"/>
    <w:tmpl w:val="BDD652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77900349">
    <w:abstractNumId w:val="0"/>
    <w:lvlOverride w:ilvl="0"/>
    <w:lvlOverride w:ilvl="1"/>
    <w:lvlOverride w:ilvl="2"/>
    <w:lvlOverride w:ilvl="3"/>
    <w:lvlOverride w:ilvl="4"/>
    <w:lvlOverride w:ilvl="5"/>
    <w:lvlOverride w:ilvl="6"/>
    <w:lvlOverride w:ilvl="7"/>
    <w:lvlOverride w:ilvl="8"/>
  </w:num>
  <w:num w:numId="2" w16cid:durableId="14361752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371328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3B1"/>
    <w:rsid w:val="001443B1"/>
    <w:rsid w:val="0039409C"/>
    <w:rsid w:val="004A62C7"/>
    <w:rsid w:val="004D69AD"/>
    <w:rsid w:val="009053DF"/>
    <w:rsid w:val="009F55AC"/>
    <w:rsid w:val="00FC0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633D8"/>
  <w15:chartTrackingRefBased/>
  <w15:docId w15:val="{86C17EFA-EB66-4354-8368-6B74D6CC3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43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43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43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43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43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43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43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43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43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3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43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43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43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43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43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43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43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43B1"/>
    <w:rPr>
      <w:rFonts w:eastAsiaTheme="majorEastAsia" w:cstheme="majorBidi"/>
      <w:color w:val="272727" w:themeColor="text1" w:themeTint="D8"/>
    </w:rPr>
  </w:style>
  <w:style w:type="paragraph" w:styleId="Title">
    <w:name w:val="Title"/>
    <w:basedOn w:val="Normal"/>
    <w:next w:val="Normal"/>
    <w:link w:val="TitleChar"/>
    <w:uiPriority w:val="10"/>
    <w:qFormat/>
    <w:rsid w:val="001443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43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43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43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43B1"/>
    <w:pPr>
      <w:spacing w:before="160"/>
      <w:jc w:val="center"/>
    </w:pPr>
    <w:rPr>
      <w:i/>
      <w:iCs/>
      <w:color w:val="404040" w:themeColor="text1" w:themeTint="BF"/>
    </w:rPr>
  </w:style>
  <w:style w:type="character" w:customStyle="1" w:styleId="QuoteChar">
    <w:name w:val="Quote Char"/>
    <w:basedOn w:val="DefaultParagraphFont"/>
    <w:link w:val="Quote"/>
    <w:uiPriority w:val="29"/>
    <w:rsid w:val="001443B1"/>
    <w:rPr>
      <w:i/>
      <w:iCs/>
      <w:color w:val="404040" w:themeColor="text1" w:themeTint="BF"/>
    </w:rPr>
  </w:style>
  <w:style w:type="paragraph" w:styleId="ListParagraph">
    <w:name w:val="List Paragraph"/>
    <w:basedOn w:val="Normal"/>
    <w:uiPriority w:val="34"/>
    <w:qFormat/>
    <w:rsid w:val="001443B1"/>
    <w:pPr>
      <w:ind w:left="720"/>
      <w:contextualSpacing/>
    </w:pPr>
  </w:style>
  <w:style w:type="character" w:styleId="IntenseEmphasis">
    <w:name w:val="Intense Emphasis"/>
    <w:basedOn w:val="DefaultParagraphFont"/>
    <w:uiPriority w:val="21"/>
    <w:qFormat/>
    <w:rsid w:val="001443B1"/>
    <w:rPr>
      <w:i/>
      <w:iCs/>
      <w:color w:val="0F4761" w:themeColor="accent1" w:themeShade="BF"/>
    </w:rPr>
  </w:style>
  <w:style w:type="paragraph" w:styleId="IntenseQuote">
    <w:name w:val="Intense Quote"/>
    <w:basedOn w:val="Normal"/>
    <w:next w:val="Normal"/>
    <w:link w:val="IntenseQuoteChar"/>
    <w:uiPriority w:val="30"/>
    <w:qFormat/>
    <w:rsid w:val="001443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43B1"/>
    <w:rPr>
      <w:i/>
      <w:iCs/>
      <w:color w:val="0F4761" w:themeColor="accent1" w:themeShade="BF"/>
    </w:rPr>
  </w:style>
  <w:style w:type="character" w:styleId="IntenseReference">
    <w:name w:val="Intense Reference"/>
    <w:basedOn w:val="DefaultParagraphFont"/>
    <w:uiPriority w:val="32"/>
    <w:qFormat/>
    <w:rsid w:val="001443B1"/>
    <w:rPr>
      <w:b/>
      <w:bCs/>
      <w:smallCaps/>
      <w:color w:val="0F4761" w:themeColor="accent1" w:themeShade="BF"/>
      <w:spacing w:val="5"/>
    </w:rPr>
  </w:style>
  <w:style w:type="character" w:styleId="Hyperlink">
    <w:name w:val="Hyperlink"/>
    <w:basedOn w:val="DefaultParagraphFont"/>
    <w:uiPriority w:val="99"/>
    <w:unhideWhenUsed/>
    <w:rsid w:val="001443B1"/>
    <w:rPr>
      <w:color w:val="467886" w:themeColor="hyperlink"/>
      <w:u w:val="single"/>
    </w:rPr>
  </w:style>
  <w:style w:type="character" w:styleId="UnresolvedMention">
    <w:name w:val="Unresolved Mention"/>
    <w:basedOn w:val="DefaultParagraphFont"/>
    <w:uiPriority w:val="99"/>
    <w:semiHidden/>
    <w:unhideWhenUsed/>
    <w:rsid w:val="001443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945689">
      <w:bodyDiv w:val="1"/>
      <w:marLeft w:val="0"/>
      <w:marRight w:val="0"/>
      <w:marTop w:val="0"/>
      <w:marBottom w:val="0"/>
      <w:divBdr>
        <w:top w:val="none" w:sz="0" w:space="0" w:color="auto"/>
        <w:left w:val="none" w:sz="0" w:space="0" w:color="auto"/>
        <w:bottom w:val="none" w:sz="0" w:space="0" w:color="auto"/>
        <w:right w:val="none" w:sz="0" w:space="0" w:color="auto"/>
      </w:divBdr>
    </w:div>
    <w:div w:id="71500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www.surveymonkey.com/r/DM3T7XF__;!!HRg2s0N7wg4sn4Q!uNc9eLNFI7NJGRXNRaQzvtPmvqC-zlenjMQWy5Uq1676sdQ-vvYCO5G709VXaqe3TBp6q5fjBYyxNZWuy1f0Di3n0qg$" TargetMode="External"/><Relationship Id="rId3" Type="http://schemas.openxmlformats.org/officeDocument/2006/relationships/settings" Target="settings.xml"/><Relationship Id="rId7" Type="http://schemas.openxmlformats.org/officeDocument/2006/relationships/hyperlink" Target="https://urldefense.com/v3/__https:/www.surveymonkey.com/r/PJQT2QQ__;!!HRg2s0N7wg4sn4Q!uNc9eLNFI7NJGRXNRaQzvtPmvqC-zlenjMQWy5Uq1676sdQ-vvYCO5G709VXaqe3TBp6q5fjBYyxNZWuy1f0tFyJdx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HTInfo@dhcs.ca.gov?subject=DHCS%20Login%20Iss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690</Words>
  <Characters>3939</Characters>
  <Application>Microsoft Office Word</Application>
  <DocSecurity>0</DocSecurity>
  <Lines>32</Lines>
  <Paragraphs>9</Paragraphs>
  <ScaleCrop>false</ScaleCrop>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Banks Jacobo</dc:creator>
  <cp:keywords/>
  <dc:description/>
  <cp:lastModifiedBy>Rachel Banks Jacobo</cp:lastModifiedBy>
  <cp:revision>1</cp:revision>
  <dcterms:created xsi:type="dcterms:W3CDTF">2025-11-21T19:53:00Z</dcterms:created>
  <dcterms:modified xsi:type="dcterms:W3CDTF">2025-11-21T19:55:00Z</dcterms:modified>
</cp:coreProperties>
</file>